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174"/>
        <w:gridCol w:w="8330"/>
      </w:tblGrid>
      <w:tr w:rsidR="00135D55" w:rsidRPr="00135D55" w:rsidTr="00135D55">
        <w:trPr>
          <w:tblCellSpacing w:w="0" w:type="dxa"/>
        </w:trPr>
        <w:tc>
          <w:tcPr>
            <w:tcW w:w="450" w:type="dxa"/>
            <w:hideMark/>
          </w:tcPr>
          <w:p w:rsidR="00135D55" w:rsidRPr="00135D55" w:rsidRDefault="00135D55" w:rsidP="00135D55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</w:p>
        </w:tc>
        <w:tc>
          <w:tcPr>
            <w:tcW w:w="10800" w:type="dxa"/>
            <w:hideMark/>
          </w:tcPr>
          <w:p w:rsidR="00135D55" w:rsidRPr="00135D55" w:rsidRDefault="00135D55" w:rsidP="00135D55">
            <w:pPr>
              <w:pBdr>
                <w:bottom w:val="single" w:sz="6" w:space="1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vanish/>
                <w:sz w:val="16"/>
                <w:szCs w:val="16"/>
                <w:lang w:eastAsia="pt-BR"/>
              </w:rPr>
            </w:pPr>
            <w:r w:rsidRPr="00135D55">
              <w:rPr>
                <w:rFonts w:ascii="Arial" w:eastAsia="Times New Roman" w:hAnsi="Arial" w:cs="Arial"/>
                <w:vanish/>
                <w:sz w:val="16"/>
                <w:szCs w:val="16"/>
                <w:lang w:eastAsia="pt-BR"/>
              </w:rPr>
              <w:t>Parte superior do formulário</w:t>
            </w:r>
          </w:p>
          <w:tbl>
            <w:tblPr>
              <w:tblW w:w="4500" w:type="pct"/>
              <w:jc w:val="center"/>
              <w:tblCellSpacing w:w="30" w:type="dxa"/>
              <w:tblBorders>
                <w:top w:val="outset" w:sz="24" w:space="0" w:color="33961C"/>
                <w:left w:val="outset" w:sz="24" w:space="0" w:color="33961C"/>
                <w:bottom w:val="outset" w:sz="24" w:space="0" w:color="33961C"/>
                <w:right w:val="outset" w:sz="24" w:space="0" w:color="33961C"/>
              </w:tblBorders>
              <w:shd w:val="clear" w:color="auto" w:fill="CCFFCC"/>
              <w:tblCellMar>
                <w:left w:w="0" w:type="dxa"/>
                <w:right w:w="0" w:type="dxa"/>
              </w:tblCellMar>
              <w:tblLook w:val="04A0"/>
            </w:tblPr>
            <w:tblGrid>
              <w:gridCol w:w="7483"/>
            </w:tblGrid>
            <w:tr w:rsidR="00135D55" w:rsidRPr="00135D55" w:rsidTr="00135D55">
              <w:trPr>
                <w:tblCellSpacing w:w="3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33961C"/>
                    <w:left w:val="outset" w:sz="6" w:space="0" w:color="33961C"/>
                    <w:bottom w:val="outset" w:sz="6" w:space="0" w:color="33961C"/>
                    <w:right w:val="outset" w:sz="6" w:space="0" w:color="33961C"/>
                  </w:tcBorders>
                  <w:shd w:val="clear" w:color="auto" w:fill="CCFFCC"/>
                  <w:hideMark/>
                </w:tcPr>
                <w:tbl>
                  <w:tblPr>
                    <w:tblW w:w="0" w:type="auto"/>
                    <w:jc w:val="center"/>
                    <w:tblCellSpacing w:w="0" w:type="dxa"/>
                    <w:tblCellMar>
                      <w:top w:w="30" w:type="dxa"/>
                      <w:left w:w="30" w:type="dxa"/>
                      <w:bottom w:w="30" w:type="dxa"/>
                      <w:right w:w="30" w:type="dxa"/>
                    </w:tblCellMar>
                    <w:tblLook w:val="04A0"/>
                  </w:tblPr>
                  <w:tblGrid>
                    <w:gridCol w:w="7333"/>
                  </w:tblGrid>
                  <w:tr w:rsidR="00135D55" w:rsidRPr="00135D55">
                    <w:trPr>
                      <w:trHeight w:val="300"/>
                      <w:tblCellSpacing w:w="0" w:type="dxa"/>
                      <w:jc w:val="center"/>
                    </w:trPr>
                    <w:tc>
                      <w:tcPr>
                        <w:tcW w:w="50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135D55" w:rsidRPr="00135D55" w:rsidRDefault="00135D55" w:rsidP="00135D55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135D55">
                          <w:rPr>
                            <w:rFonts w:ascii="Tahoma" w:eastAsia="Times New Roman" w:hAnsi="Tahoma" w:cs="Tahoma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Portaria Nº 248, DE 30 DE DEZEMBRO DE 1998</w:t>
                        </w:r>
                      </w:p>
                    </w:tc>
                  </w:tr>
                  <w:tr w:rsidR="00135D55" w:rsidRPr="00135D55">
                    <w:trPr>
                      <w:trHeight w:val="525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vAlign w:val="center"/>
                        <w:hideMark/>
                      </w:tcPr>
                      <w:p w:rsidR="00135D55" w:rsidRPr="00135D55" w:rsidRDefault="00135D55" w:rsidP="00135D55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135D55">
                          <w:rPr>
                            <w:rFonts w:ascii="Tahoma" w:eastAsia="Times New Roman" w:hAnsi="Tahoma" w:cs="Tahoma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Situação:</w:t>
                        </w:r>
                        <w:r w:rsidRPr="00135D55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  <w:r w:rsidRPr="00135D55">
                          <w:rPr>
                            <w:rFonts w:ascii="Tahoma" w:eastAsia="Times New Roman" w:hAnsi="Tahoma" w:cs="Tahoma"/>
                            <w:b/>
                            <w:bCs/>
                            <w:color w:val="FF0000"/>
                            <w:sz w:val="18"/>
                            <w:szCs w:val="18"/>
                            <w:lang w:eastAsia="pt-BR"/>
                          </w:rPr>
                          <w:t>Vigente</w:t>
                        </w:r>
                      </w:p>
                    </w:tc>
                  </w:tr>
                  <w:tr w:rsidR="00135D55" w:rsidRPr="00135D55">
                    <w:trPr>
                      <w:trHeight w:val="525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vAlign w:val="center"/>
                        <w:hideMark/>
                      </w:tcPr>
                      <w:p w:rsidR="00135D55" w:rsidRPr="00135D55" w:rsidRDefault="00135D55" w:rsidP="00135D55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135D55">
                          <w:rPr>
                            <w:rFonts w:ascii="Tahoma" w:eastAsia="Times New Roman" w:hAnsi="Tahoma" w:cs="Tahoma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Publicado no Diário Oficial da União de </w:t>
                        </w:r>
                        <w:proofErr w:type="gramStart"/>
                        <w:r w:rsidRPr="00135D55">
                          <w:rPr>
                            <w:rFonts w:ascii="Tahoma" w:eastAsia="Times New Roman" w:hAnsi="Tahoma" w:cs="Tahoma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05/01/1999 ,</w:t>
                        </w:r>
                        <w:proofErr w:type="gramEnd"/>
                        <w:r w:rsidRPr="00135D55">
                          <w:rPr>
                            <w:rFonts w:ascii="Tahoma" w:eastAsia="Times New Roman" w:hAnsi="Tahoma" w:cs="Tahoma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 Seção 1 , Página 13</w:t>
                        </w:r>
                      </w:p>
                    </w:tc>
                  </w:tr>
                  <w:tr w:rsidR="00135D55" w:rsidRPr="00135D55">
                    <w:trPr>
                      <w:trHeight w:val="525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135D55" w:rsidRPr="00135D55" w:rsidRDefault="00135D55" w:rsidP="00135D55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135D55">
                          <w:rPr>
                            <w:rFonts w:ascii="Tahoma" w:eastAsia="Times New Roman" w:hAnsi="Tahoma" w:cs="Tahoma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Ementa:</w:t>
                        </w:r>
                        <w:r w:rsidRPr="00135D55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  <w:r w:rsidRPr="00135D55">
                          <w:rPr>
                            <w:rFonts w:ascii="Tahoma" w:eastAsia="Times New Roman" w:hAnsi="Tahoma" w:cs="Tahoma"/>
                            <w:sz w:val="18"/>
                            <w:szCs w:val="18"/>
                            <w:lang w:eastAsia="pt-BR"/>
                          </w:rPr>
                          <w:t xml:space="preserve">Estabelece metodologia analítica para a detecção de </w:t>
                        </w:r>
                        <w:proofErr w:type="spellStart"/>
                        <w:r w:rsidRPr="00135D55">
                          <w:rPr>
                            <w:rFonts w:ascii="Tahoma" w:eastAsia="Times New Roman" w:hAnsi="Tahoma" w:cs="Tahoma"/>
                            <w:sz w:val="18"/>
                            <w:szCs w:val="18"/>
                            <w:lang w:eastAsia="pt-BR"/>
                          </w:rPr>
                          <w:t>Bacillus</w:t>
                        </w:r>
                        <w:proofErr w:type="spellEnd"/>
                        <w:r w:rsidRPr="00135D55">
                          <w:rPr>
                            <w:rFonts w:ascii="Tahoma" w:eastAsia="Times New Roman" w:hAnsi="Tahoma" w:cs="Tahoma"/>
                            <w:sz w:val="18"/>
                            <w:szCs w:val="18"/>
                            <w:lang w:eastAsia="pt-BR"/>
                          </w:rPr>
                          <w:t xml:space="preserve"> </w:t>
                        </w:r>
                        <w:proofErr w:type="spellStart"/>
                        <w:r w:rsidRPr="00135D55">
                          <w:rPr>
                            <w:rFonts w:ascii="Tahoma" w:eastAsia="Times New Roman" w:hAnsi="Tahoma" w:cs="Tahoma"/>
                            <w:sz w:val="18"/>
                            <w:szCs w:val="18"/>
                            <w:lang w:eastAsia="pt-BR"/>
                          </w:rPr>
                          <w:t>larvae</w:t>
                        </w:r>
                        <w:proofErr w:type="spellEnd"/>
                        <w:r w:rsidRPr="00135D55">
                          <w:rPr>
                            <w:rFonts w:ascii="Tahoma" w:eastAsia="Times New Roman" w:hAnsi="Tahoma" w:cs="Tahoma"/>
                            <w:sz w:val="18"/>
                            <w:szCs w:val="18"/>
                            <w:lang w:eastAsia="pt-BR"/>
                          </w:rPr>
                          <w:t>, agente da enfermidade das larvas de abelhas, conhecida como Loque Americana, em mel.</w:t>
                        </w:r>
                        <w:r w:rsidRPr="00135D55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135D55" w:rsidRPr="00135D55">
                    <w:trPr>
                      <w:trHeight w:val="525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135D55" w:rsidRPr="00135D55" w:rsidRDefault="00135D55" w:rsidP="00135D55">
                        <w:pPr>
                          <w:spacing w:after="24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135D55">
                          <w:rPr>
                            <w:rFonts w:ascii="Tahoma" w:eastAsia="Times New Roman" w:hAnsi="Tahoma" w:cs="Tahoma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Histórico:</w:t>
                        </w:r>
                      </w:p>
                    </w:tc>
                  </w:tr>
                  <w:tr w:rsidR="00135D55" w:rsidRPr="00135D55">
                    <w:trPr>
                      <w:trHeight w:val="300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135D55" w:rsidRPr="00135D55" w:rsidRDefault="00135D55" w:rsidP="00135D55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</w:p>
                    </w:tc>
                  </w:tr>
                </w:tbl>
                <w:p w:rsidR="00135D55" w:rsidRPr="00135D55" w:rsidRDefault="00135D55" w:rsidP="00135D55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8"/>
                      <w:szCs w:val="18"/>
                      <w:lang w:eastAsia="pt-BR"/>
                    </w:rPr>
                  </w:pPr>
                </w:p>
              </w:tc>
            </w:tr>
          </w:tbl>
          <w:p w:rsidR="00135D55" w:rsidRPr="00135D55" w:rsidRDefault="00135D55" w:rsidP="00135D55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t-BR"/>
              </w:rPr>
            </w:pPr>
          </w:p>
          <w:tbl>
            <w:tblPr>
              <w:tblW w:w="4500" w:type="pct"/>
              <w:jc w:val="center"/>
              <w:tblCellSpacing w:w="3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7497"/>
            </w:tblGrid>
            <w:tr w:rsidR="00135D55" w:rsidRPr="00135D55" w:rsidTr="00135D55">
              <w:trPr>
                <w:tblCellSpacing w:w="3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135D55" w:rsidRPr="00135D55" w:rsidRDefault="00135D55" w:rsidP="00135D5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135D55">
                    <w:rPr>
                      <w:rFonts w:ascii="Tahoma" w:eastAsia="Times New Roman" w:hAnsi="Tahoma" w:cs="Tahoma"/>
                      <w:b/>
                      <w:bCs/>
                      <w:color w:val="FF0000"/>
                      <w:sz w:val="18"/>
                      <w:szCs w:val="18"/>
                      <w:lang w:eastAsia="pt-BR"/>
                    </w:rPr>
                    <w:t>Os textos legais disponíveis no site são meramente informativos e destinados a consulta / pesquisa, sendo imprópria sua utilização em ações judiciais.</w:t>
                  </w:r>
                </w:p>
              </w:tc>
            </w:tr>
          </w:tbl>
          <w:p w:rsidR="00135D55" w:rsidRPr="00135D55" w:rsidRDefault="00135D55" w:rsidP="00135D55">
            <w:pPr>
              <w:spacing w:after="240" w:line="240" w:lineRule="auto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  <w:r w:rsidRPr="00135D55"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  <w:br/>
            </w:r>
          </w:p>
          <w:p w:rsidR="00135D55" w:rsidRPr="00135D55" w:rsidRDefault="00135D55" w:rsidP="00135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35D55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>MINISTÉRIO DA AGRICULTURA E DO ABASTECIMENTO</w:t>
            </w:r>
          </w:p>
          <w:p w:rsidR="00135D55" w:rsidRPr="00135D55" w:rsidRDefault="00135D55" w:rsidP="00135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35D55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>SECRETARIA DE DEFESA AGROPEUCUÁRIA</w:t>
            </w:r>
          </w:p>
          <w:p w:rsidR="00135D55" w:rsidRPr="00135D55" w:rsidRDefault="00135D55" w:rsidP="00135D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35D55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> </w:t>
            </w:r>
          </w:p>
          <w:p w:rsidR="00135D55" w:rsidRPr="00135D55" w:rsidRDefault="00135D55" w:rsidP="00135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35D55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>PORTARIA Nº 248, DE 30 DE DEZEMBRO DE 1.998.</w:t>
            </w:r>
          </w:p>
          <w:p w:rsidR="00135D55" w:rsidRPr="00135D55" w:rsidRDefault="00135D55" w:rsidP="00135D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35D55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> </w:t>
            </w:r>
          </w:p>
          <w:p w:rsidR="00135D55" w:rsidRPr="00135D55" w:rsidRDefault="00135D55" w:rsidP="00135D55">
            <w:pPr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35D55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 xml:space="preserve">O SECRETARIO DE DEFESA AGROPECUARIA DO MINISTÉRIO DA AGRICULTURA E DO ABASTECIMENTO, no uso da atribuição que lhe confere o artigo 83, inciso IV, do Regimento Interno da Secretaria, aprovado pela Portaria Ministerial nº. 319, de </w:t>
            </w:r>
            <w:proofErr w:type="gramStart"/>
            <w:r w:rsidRPr="00135D55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>6</w:t>
            </w:r>
            <w:proofErr w:type="gramEnd"/>
            <w:r w:rsidRPr="00135D55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 xml:space="preserve"> de maio de 1996, resolve:</w:t>
            </w:r>
          </w:p>
          <w:p w:rsidR="00135D55" w:rsidRPr="00135D55" w:rsidRDefault="00135D55" w:rsidP="00135D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35D55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> </w:t>
            </w:r>
          </w:p>
          <w:p w:rsidR="00135D55" w:rsidRPr="00135D55" w:rsidRDefault="00135D55" w:rsidP="00135D55">
            <w:pPr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35D55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>Art. 1º Aprovar as metodologias para Pesquisa de</w:t>
            </w:r>
            <w:r w:rsidRPr="00135D55">
              <w:rPr>
                <w:rFonts w:ascii="Verdana" w:eastAsia="Times New Roman" w:hAnsi="Verdana" w:cs="Times New Roman"/>
                <w:sz w:val="20"/>
                <w:lang w:eastAsia="pt-BR"/>
              </w:rPr>
              <w:t> </w:t>
            </w:r>
            <w:proofErr w:type="spellStart"/>
            <w:r w:rsidRPr="00135D55">
              <w:rPr>
                <w:rFonts w:ascii="Verdana" w:eastAsia="Times New Roman" w:hAnsi="Verdana" w:cs="Times New Roman"/>
                <w:i/>
                <w:iCs/>
                <w:sz w:val="20"/>
                <w:szCs w:val="20"/>
                <w:lang w:eastAsia="pt-BR"/>
              </w:rPr>
              <w:t>Bacillus</w:t>
            </w:r>
            <w:proofErr w:type="spellEnd"/>
            <w:r w:rsidRPr="00135D55">
              <w:rPr>
                <w:rFonts w:ascii="Verdana" w:eastAsia="Times New Roman" w:hAnsi="Verdana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135D55">
              <w:rPr>
                <w:rFonts w:ascii="Verdana" w:eastAsia="Times New Roman" w:hAnsi="Verdana" w:cs="Times New Roman"/>
                <w:i/>
                <w:iCs/>
                <w:sz w:val="20"/>
                <w:szCs w:val="20"/>
                <w:lang w:eastAsia="pt-BR"/>
              </w:rPr>
              <w:t>larvae</w:t>
            </w:r>
            <w:proofErr w:type="spellEnd"/>
            <w:r w:rsidRPr="00135D55">
              <w:rPr>
                <w:rFonts w:ascii="Verdana" w:eastAsia="Times New Roman" w:hAnsi="Verdana" w:cs="Times New Roman"/>
                <w:sz w:val="20"/>
                <w:lang w:eastAsia="pt-BR"/>
              </w:rPr>
              <w:t> </w:t>
            </w:r>
            <w:r w:rsidRPr="00135D55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>em Mel, em anexo.</w:t>
            </w:r>
          </w:p>
          <w:p w:rsidR="00135D55" w:rsidRPr="00135D55" w:rsidRDefault="00135D55" w:rsidP="00135D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35D55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> </w:t>
            </w:r>
          </w:p>
          <w:p w:rsidR="00135D55" w:rsidRPr="00135D55" w:rsidRDefault="00135D55" w:rsidP="00135D55">
            <w:pPr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35D55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>Art. 2º Esta Portaria entra em vigor na data de sua publicação.</w:t>
            </w:r>
          </w:p>
          <w:p w:rsidR="00135D55" w:rsidRPr="00135D55" w:rsidRDefault="00135D55" w:rsidP="00135D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35D55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> </w:t>
            </w:r>
          </w:p>
          <w:p w:rsidR="00135D55" w:rsidRPr="00135D55" w:rsidRDefault="00135D55" w:rsidP="00135D55">
            <w:pPr>
              <w:spacing w:after="0" w:line="240" w:lineRule="auto"/>
              <w:ind w:left="49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35D55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>ÊNIO ANTÔNIO MARQUES PEREIRA</w:t>
            </w:r>
          </w:p>
          <w:p w:rsidR="00135D55" w:rsidRPr="00135D55" w:rsidRDefault="00135D55" w:rsidP="00135D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35D55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> </w:t>
            </w:r>
          </w:p>
          <w:p w:rsidR="00135D55" w:rsidRPr="00135D55" w:rsidRDefault="00135D55" w:rsidP="00135D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35D5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  <w:p w:rsidR="00135D55" w:rsidRPr="00135D55" w:rsidRDefault="00135D55" w:rsidP="00135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35D5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 </w:t>
            </w:r>
          </w:p>
          <w:p w:rsidR="00135D55" w:rsidRPr="00135D55" w:rsidRDefault="00135D55" w:rsidP="00135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hyperlink r:id="rId4" w:tgtFrame="_blank" w:history="1">
              <w:r w:rsidRPr="00135D55">
                <w:rPr>
                  <w:rFonts w:ascii="Times New Roman" w:eastAsia="Times New Roman" w:hAnsi="Times New Roman" w:cs="Times New Roman"/>
                  <w:b/>
                  <w:bCs/>
                  <w:color w:val="000099"/>
                  <w:sz w:val="18"/>
                  <w:lang w:eastAsia="pt-BR"/>
                </w:rPr>
                <w:t xml:space="preserve">ANEXO - PESQUISA DE BACILLUS LARVAE EM </w:t>
              </w:r>
              <w:proofErr w:type="gramStart"/>
              <w:r w:rsidRPr="00135D55">
                <w:rPr>
                  <w:rFonts w:ascii="Times New Roman" w:eastAsia="Times New Roman" w:hAnsi="Times New Roman" w:cs="Times New Roman"/>
                  <w:b/>
                  <w:bCs/>
                  <w:color w:val="000099"/>
                  <w:sz w:val="18"/>
                  <w:lang w:eastAsia="pt-BR"/>
                </w:rPr>
                <w:t>MEL.</w:t>
              </w:r>
              <w:proofErr w:type="gramEnd"/>
            </w:hyperlink>
          </w:p>
          <w:p w:rsidR="00135D55" w:rsidRPr="00135D55" w:rsidRDefault="00135D55" w:rsidP="00135D55">
            <w:pPr>
              <w:pBdr>
                <w:top w:val="single" w:sz="6" w:space="1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vanish/>
                <w:sz w:val="16"/>
                <w:szCs w:val="16"/>
                <w:lang w:eastAsia="pt-BR"/>
              </w:rPr>
            </w:pPr>
            <w:r w:rsidRPr="00135D55">
              <w:rPr>
                <w:rFonts w:ascii="Arial" w:eastAsia="Times New Roman" w:hAnsi="Arial" w:cs="Arial"/>
                <w:vanish/>
                <w:sz w:val="16"/>
                <w:szCs w:val="16"/>
                <w:lang w:eastAsia="pt-BR"/>
              </w:rPr>
              <w:t>Parte inferior do formulário</w:t>
            </w:r>
          </w:p>
        </w:tc>
      </w:tr>
    </w:tbl>
    <w:p w:rsidR="00AC5692" w:rsidRDefault="00135D55"/>
    <w:sectPr w:rsidR="00AC5692" w:rsidSect="00B2590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35D55"/>
    <w:rsid w:val="00135D55"/>
    <w:rsid w:val="005272A5"/>
    <w:rsid w:val="00B25902"/>
    <w:rsid w:val="00E037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590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unhideWhenUsed/>
    <w:rsid w:val="00135D55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t-BR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rsid w:val="00135D55"/>
    <w:rPr>
      <w:rFonts w:ascii="Arial" w:eastAsia="Times New Roman" w:hAnsi="Arial" w:cs="Arial"/>
      <w:vanish/>
      <w:sz w:val="16"/>
      <w:szCs w:val="16"/>
      <w:lang w:eastAsia="pt-BR"/>
    </w:rPr>
  </w:style>
  <w:style w:type="character" w:customStyle="1" w:styleId="apple-converted-space">
    <w:name w:val="apple-converted-space"/>
    <w:basedOn w:val="Fontepargpadro"/>
    <w:rsid w:val="00135D55"/>
  </w:style>
  <w:style w:type="character" w:styleId="Forte">
    <w:name w:val="Strong"/>
    <w:basedOn w:val="Fontepargpadro"/>
    <w:uiPriority w:val="22"/>
    <w:qFormat/>
    <w:rsid w:val="00135D55"/>
    <w:rPr>
      <w:b/>
      <w:bCs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unhideWhenUsed/>
    <w:rsid w:val="00135D55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t-BR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rsid w:val="00135D55"/>
    <w:rPr>
      <w:rFonts w:ascii="Arial" w:eastAsia="Times New Roman" w:hAnsi="Arial" w:cs="Arial"/>
      <w:vanish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045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87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9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352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977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extranet.agricultura.gov.br/sislegis-consulta/servlet/VisualizarAnexo?id=13365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1068</Characters>
  <Application>Microsoft Office Word</Application>
  <DocSecurity>0</DocSecurity>
  <Lines>8</Lines>
  <Paragraphs>2</Paragraphs>
  <ScaleCrop>false</ScaleCrop>
  <Company/>
  <LinksUpToDate>false</LinksUpToDate>
  <CharactersWithSpaces>1263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jeffersonap</dc:creator>
  <cp:lastModifiedBy>jeffersonap</cp:lastModifiedBy>
  <cp:revision>1</cp:revision>
  <dcterms:created xsi:type="dcterms:W3CDTF">2015-12-15T13:47:00Z</dcterms:created>
  <dcterms:modified xsi:type="dcterms:W3CDTF">2015-12-15T13:47:00Z</dcterms:modified>
</cp:coreProperties>
</file>